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eastAsia="zh-CN"/>
        </w:rPr>
        <w:t>鹅公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镇201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201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9</w:t>
      </w:r>
      <w:r>
        <w:rPr>
          <w:rFonts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年，在镇党委政府的坚强领导和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上级主管部门的悉心指导下，我镇以党的十九大精神为主线，以习近平新时代中国特色社会主义思想为指引，不断深化政务公开，公开内容进一步拓展，公开制度得到较好执行，政府信息公开工作取得了明显成效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现将年度报告向全社会予以公布，报告内容主要由概述、主动公开政府信息情况、依申请公开政府信息情况、申请行政复议及提起行政诉讼和申诉情况、存在问题及改进措施等五部分组成，报告中所列数据的统计期限自201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年1月1日起至201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年12月31日止。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default" w:ascii="楷体_GB2312" w:eastAsia="楷体_GB2312" w:cs="楷体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ascii="楷体_GB2312" w:eastAsia="楷体_GB2312" w:cs="楷体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一、概述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201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年，全镇政府信息公开工作主要开展了以下5方面工作。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（一）切实加强了组织领导。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为确保政府信息公开工作有序开展，按照上级指示，及时调整了相应的信息公开工作机构，配备专兼职人员，明确工作责任，加大信息公开工作的领导力度。成立了政府信息公开领导小组，明确了全镇政府信息公开工作的组织领导体制和工作职责，确定办公室是全镇政府信息公开工作的主要部门，负责推进、指导、协调、监督全镇的政府信息公开工作，确定了专人负责政府信息公开工作，负责对政府信息公开保密审查工作进行监督和指导。镇纪委协同负责对政府信息公开工作进行行政监察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（二）组织宣传培训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积极利用报纸、广播、电视、网站和专题培训班等多种形式宣传普及政府信息公开知识，营造良好的舆论氛围。同时，根据政府信息公开工作进度，分类召开政府信息公开监督员座谈会，分析点评存在的问题，典型引路和通报督促相结合，不断提高工作水平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（三）组织编制政府信息公开指南和目录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按照“上下同步、规范统一、分级编制、各负其责”的原则，建立了管理的政府信息公开目录，对201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年以来的政府信息进行了梳理，及时编制了政府信息公开指南和目录。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（四）加强政府信息公开平台建设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采用多种形式，拓宽政府信息公开渠道。进一步加强政府网站建设，努力将政府网站打造为政府信息公开的第一平台，结合我镇机关行政效能建设工作，加大便民服务中心建设力度，清理规范并公开了政府行政审批和公共服务事项、便民服务事项的相关信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（五）落实监督评议机制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为加大对政府信息公开工作监督检查力度，在把政府信息公开工作纳入政府年度目标考核的同时，积极探索多种监督评议方式，如开展了政府信息公开社会监督员公开选聘工作；并将政府信息公开的社会监督与其他政府工作的社会监督相结合，积极探索实践政府信息公开社会监督的有效办法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default" w:ascii="楷体_GB2312" w:eastAsia="楷体_GB2312" w:cs="楷体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default" w:ascii="楷体_GB2312" w:eastAsia="楷体_GB2312" w:cs="楷体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二、主动公开政府信息情况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全镇累计主动公开政府信息1200条以上。其中，政策法规类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500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条，工作动态类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600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条，人事管理类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100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条。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（一）公开的内容主要有以下几个方面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1.与公众密切相关的重大事项。重点公开了扶贫、优抚、教育、劳动、就业、保障等方面政策，医疗、食品安全监督检查等方面的信息，行政机关、公共企事业单位办事服务流程等信息。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2.政务活动情况。重点公开了全镇大型政务活动和党政联席会议、专题会议议定的主要事项，全镇突发公共事件的处置过程及结果，地方和部门负责人解读相关政策等方面情况。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3.公共资金使用和监督情况。重点公开了重大项目的招投标情况；政府集中采购情况；财政预算、决算、审计情况以及民生工程资金和教育、科技、文化、卫生等公共财政拨付、使用、监管情况。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4.政府机构和人事管理情况。重点公开了政府机关的管理职能及其调整、变动情况，包括政府机关管理职能、内设机构和直属单位、主要领导人简历、人事任免等信息；公开了公务员招考和录用以及公开选任干部的条件、程序、结果等方面的信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（二）公开形式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1.政府网站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政府网站是政府信息公开的第一平台，通过网站“政府信息公开目录”专栏，可以查阅全镇的公开指南和目录以及主动公开的政府信息，下载办事表格。同时，还可以浏览政府公示公告等。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2.便民服务中心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在便民服务中心的办事窗口和电子公告栏、触摸屏查询系统上，全面公开行政审批事项和社会服务事项信息，包括行政审批事项的设定依据、办事程序、申请条件、申报材料、收费依据、收费标准、投诉联系等方面的信息，提供了全镇行政审批事项和公共服务事项的办理状态、结果实时查询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3.新闻媒体和镇村公示栏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通过报刊、广播、电视等新闻媒体和镇村公示栏，及时宣传报道重大事件、重要政务活动、重点项目建设等经济社会发展情况。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default" w:ascii="楷体_GB2312" w:eastAsia="楷体_GB2312" w:cs="楷体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default" w:ascii="楷体_GB2312" w:eastAsia="楷体_GB2312" w:cs="楷体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三、政府信息依申请公开情况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全镇无依申请公开的政府信息。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default" w:ascii="楷体_GB2312" w:eastAsia="楷体_GB2312" w:cs="楷体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default" w:ascii="楷体_GB2312" w:eastAsia="楷体_GB2312" w:cs="楷体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四、政府信息公开收费及减免情况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全镇无收取政府信息公开复印、邮寄等费用的情况。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default" w:ascii="楷体_GB2312" w:eastAsia="楷体_GB2312" w:cs="楷体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default" w:ascii="楷体_GB2312" w:eastAsia="楷体_GB2312" w:cs="楷体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五、因政府信息公开申请行政复议、提起行政诉讼的情况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201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年全镇没有因政府信息公开申请行政复议、提起行政诉讼的情况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 w:firstLine="643" w:firstLineChars="200"/>
        <w:jc w:val="both"/>
        <w:rPr>
          <w:rFonts w:hint="default" w:ascii="楷体_GB2312" w:eastAsia="楷体_GB2312" w:cs="楷体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default" w:ascii="楷体_GB2312" w:eastAsia="楷体_GB2312" w:cs="楷体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六、信息公开工作存在的主要问题及改进措施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虽然全镇政府信息公开工作在诸多方面有了较大的进步，但与公众的需求还存在差距，公开内容的及时性、全面性以及公开形式的便民性等都还需要在今后工作中改进。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（一）逐步完善政府信息公开制度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建立健全内部考核、定期督查和岗位责任追究制度，增强政府信息公开工作的主动性、积极性。完善政府信息公开档案管理制度，落实专人负责相关资料的收集、存档，确保政府信息公开工作规范有序进行。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（二）不断拓宽政府信息公开形式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进一步梳理、整合政府信息，规范公开政府办事服务信息；在其它公共场所采用政府简报、社区公开栏、便民手册等多种方式，为公民、法人或者其它组织获取政府信息提供便利。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（三）规范工作流程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升级完善全镇政府信息公开目录体系，规范公开行为，逐级细化政府信息公开审核、发布、监督评议、问责等工作流程。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（四）完善配套制度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完善依申请公开分发、处理、反馈工作机制，依法稳妥做好依申请公开工作；建立健全政府信息发布机制，及时澄清虚假或不完整信息；制定政府信息公开考核制度，细化考核内容。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（五）努力提高信息人员业务水平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参加管理和操作培训班，提高工作人员业务水平。加强信息发布和考核通报工作，确保信息公开的及时性和有效性。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eastAsia="仿宋_GB2312" w:cs="仿宋_GB2312"/>
          <w:b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b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（六）加强监督检查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进一步完善监督评议机制，对政府信息公开内容、便民程度以及公开的效果、群众的满意度、群众意见建议和投诉处理的落实情况等进行综合评议、考核，推动政府信息公开工作深入开展。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宋体" w:hAnsi="宋体" w:eastAsia="宋体" w:cs="宋体"/>
          <w:i w:val="0"/>
          <w:color w:val="000000"/>
          <w:kern w:val="2"/>
          <w:sz w:val="32"/>
          <w:szCs w:val="32"/>
          <w:u w:val="none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鹅公镇人民政府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</w:rPr>
      </w:pP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201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eastAsia="仿宋_GB2312" w:cs="仿宋_GB2312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2</w:t>
      </w:r>
      <w:bookmarkStart w:id="0" w:name="_GoBack"/>
      <w:bookmarkEnd w:id="0"/>
      <w:r>
        <w:rPr>
          <w:rFonts w:hint="eastAsia" w:ascii="仿宋_GB2312" w:eastAsia="仿宋_GB2312" w:cs="仿宋_GB2312" w:hAnsiTheme="minorHAnsi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7日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30" w:lineRule="atLeast"/>
        <w:ind w:left="0" w:leftChars="0" w:right="0" w:rightChars="0" w:firstLine="420" w:firstLineChars="200"/>
        <w:jc w:val="left"/>
        <w:rPr>
          <w:rFonts w:ascii="Calibri" w:hAnsi="Calibri" w:eastAsia="宋体" w:cs="Times New Roman"/>
          <w:i w:val="0"/>
          <w:color w:val="000000"/>
          <w:kern w:val="2"/>
          <w:sz w:val="21"/>
          <w:szCs w:val="21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C0663"/>
    <w:rsid w:val="03B17C68"/>
    <w:rsid w:val="0FA2446C"/>
    <w:rsid w:val="336524A7"/>
    <w:rsid w:val="3CDC0663"/>
    <w:rsid w:val="413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4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2019-01-17T03:43:00Z</dcterms:created>
  <dc:creator>摩登世界DK</dc:creator>
  <cp:lastModifiedBy>廖小笨</cp:lastModifiedBy>
  <cp:lastPrinted>2019-01-17T03:52:00Z</cp:lastPrinted>
  <dcterms:modified xsi:type="dcterms:W3CDTF">2020-02-27T02:50:12Z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